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D3" w:rsidRDefault="00E852D3">
      <w:r w:rsidRPr="00E852D3">
        <w:drawing>
          <wp:inline distT="0" distB="0" distL="0" distR="0">
            <wp:extent cx="3841750" cy="2794709"/>
            <wp:effectExtent l="19050" t="0" r="25400" b="5641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t xml:space="preserve">  </w:t>
      </w:r>
      <w:r w:rsidRPr="00E852D3">
        <w:drawing>
          <wp:inline distT="0" distB="0" distL="0" distR="0">
            <wp:extent cx="3864011" cy="2797791"/>
            <wp:effectExtent l="19050" t="0" r="22189" b="2559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E852D3" w:rsidSect="00E852D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852D3"/>
    <w:rsid w:val="007F280A"/>
    <w:rsid w:val="00C01588"/>
    <w:rsid w:val="00E8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RHS-FS\VOL1\TEACHERS\CBURROWS\My%20Documents\Subduction%20Lab\subduction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ERHS-FS\VOL1\TEACHERS\CBURROWS\My%20Documents\Subduction%20Lab\subduction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PERU-CHILE AREA</a:t>
            </a:r>
          </a:p>
        </c:rich>
      </c:tx>
      <c:layout>
        <c:manualLayout>
          <c:xMode val="edge"/>
          <c:yMode val="edge"/>
          <c:x val="4.896206156048765E-4"/>
          <c:y val="9.3354978997813715E-4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4693892193371522"/>
          <c:y val="0.20355584704213528"/>
          <c:w val="0.80612325227524362"/>
          <c:h val="0.71169986179959632"/>
        </c:manualLayout>
      </c:layout>
      <c:scatterChart>
        <c:scatterStyle val="lineMarker"/>
        <c:ser>
          <c:idx val="0"/>
          <c:order val="0"/>
          <c:tx>
            <c:strRef>
              <c:f>data!$E$1</c:f>
              <c:strCache>
                <c:ptCount val="1"/>
                <c:pt idx="0">
                  <c:v>FOCUS DEPTH (km)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3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trendline>
            <c:spPr>
              <a:ln w="25400"/>
            </c:spPr>
            <c:trendlineType val="linear"/>
          </c:trendline>
          <c:xVal>
            <c:numRef>
              <c:f>data!$D$2:$D$42</c:f>
              <c:numCache>
                <c:formatCode>General</c:formatCode>
                <c:ptCount val="41"/>
                <c:pt idx="0">
                  <c:v>70</c:v>
                </c:pt>
                <c:pt idx="1">
                  <c:v>71</c:v>
                </c:pt>
                <c:pt idx="2">
                  <c:v>69</c:v>
                </c:pt>
                <c:pt idx="3">
                  <c:v>69.5</c:v>
                </c:pt>
                <c:pt idx="4">
                  <c:v>70</c:v>
                </c:pt>
                <c:pt idx="5">
                  <c:v>69.5</c:v>
                </c:pt>
                <c:pt idx="6">
                  <c:v>69.5</c:v>
                </c:pt>
                <c:pt idx="7">
                  <c:v>69</c:v>
                </c:pt>
                <c:pt idx="8">
                  <c:v>68.5</c:v>
                </c:pt>
                <c:pt idx="9">
                  <c:v>68.5</c:v>
                </c:pt>
                <c:pt idx="10">
                  <c:v>67.5</c:v>
                </c:pt>
                <c:pt idx="11">
                  <c:v>68.8</c:v>
                </c:pt>
                <c:pt idx="12">
                  <c:v>68.5</c:v>
                </c:pt>
                <c:pt idx="13">
                  <c:v>68</c:v>
                </c:pt>
                <c:pt idx="14">
                  <c:v>68</c:v>
                </c:pt>
                <c:pt idx="15">
                  <c:v>68.5</c:v>
                </c:pt>
                <c:pt idx="16">
                  <c:v>68</c:v>
                </c:pt>
                <c:pt idx="17">
                  <c:v>68</c:v>
                </c:pt>
                <c:pt idx="18">
                  <c:v>67.5</c:v>
                </c:pt>
                <c:pt idx="19">
                  <c:v>67</c:v>
                </c:pt>
                <c:pt idx="20">
                  <c:v>67.5</c:v>
                </c:pt>
                <c:pt idx="21">
                  <c:v>68.5</c:v>
                </c:pt>
                <c:pt idx="22">
                  <c:v>67.5</c:v>
                </c:pt>
                <c:pt idx="23">
                  <c:v>66.5</c:v>
                </c:pt>
                <c:pt idx="24">
                  <c:v>66.5</c:v>
                </c:pt>
                <c:pt idx="25">
                  <c:v>66.5</c:v>
                </c:pt>
                <c:pt idx="26">
                  <c:v>66.5</c:v>
                </c:pt>
                <c:pt idx="27">
                  <c:v>67</c:v>
                </c:pt>
                <c:pt idx="28">
                  <c:v>66</c:v>
                </c:pt>
                <c:pt idx="29">
                  <c:v>66.5</c:v>
                </c:pt>
                <c:pt idx="30">
                  <c:v>65</c:v>
                </c:pt>
                <c:pt idx="31">
                  <c:v>65.5</c:v>
                </c:pt>
                <c:pt idx="32">
                  <c:v>64</c:v>
                </c:pt>
                <c:pt idx="33">
                  <c:v>62.5</c:v>
                </c:pt>
                <c:pt idx="34">
                  <c:v>61.5</c:v>
                </c:pt>
              </c:numCache>
            </c:numRef>
          </c:xVal>
          <c:yVal>
            <c:numRef>
              <c:f>data!$E$2:$E$42</c:f>
              <c:numCache>
                <c:formatCode>General</c:formatCode>
                <c:ptCount val="41"/>
                <c:pt idx="0">
                  <c:v>30</c:v>
                </c:pt>
                <c:pt idx="1">
                  <c:v>35</c:v>
                </c:pt>
                <c:pt idx="2">
                  <c:v>35</c:v>
                </c:pt>
                <c:pt idx="3">
                  <c:v>50</c:v>
                </c:pt>
                <c:pt idx="4">
                  <c:v>55</c:v>
                </c:pt>
                <c:pt idx="5">
                  <c:v>60</c:v>
                </c:pt>
                <c:pt idx="6">
                  <c:v>75</c:v>
                </c:pt>
                <c:pt idx="7">
                  <c:v>95</c:v>
                </c:pt>
                <c:pt idx="8">
                  <c:v>110</c:v>
                </c:pt>
                <c:pt idx="9">
                  <c:v>120</c:v>
                </c:pt>
                <c:pt idx="10">
                  <c:v>120</c:v>
                </c:pt>
                <c:pt idx="11">
                  <c:v>125</c:v>
                </c:pt>
                <c:pt idx="12">
                  <c:v>130</c:v>
                </c:pt>
                <c:pt idx="13">
                  <c:v>130</c:v>
                </c:pt>
                <c:pt idx="14">
                  <c:v>140</c:v>
                </c:pt>
                <c:pt idx="15">
                  <c:v>140</c:v>
                </c:pt>
                <c:pt idx="16">
                  <c:v>145</c:v>
                </c:pt>
                <c:pt idx="17">
                  <c:v>160</c:v>
                </c:pt>
                <c:pt idx="18">
                  <c:v>170</c:v>
                </c:pt>
                <c:pt idx="19">
                  <c:v>175</c:v>
                </c:pt>
                <c:pt idx="20">
                  <c:v>180</c:v>
                </c:pt>
                <c:pt idx="21">
                  <c:v>180</c:v>
                </c:pt>
                <c:pt idx="22">
                  <c:v>185</c:v>
                </c:pt>
                <c:pt idx="23">
                  <c:v>200</c:v>
                </c:pt>
                <c:pt idx="24">
                  <c:v>210</c:v>
                </c:pt>
                <c:pt idx="25">
                  <c:v>215</c:v>
                </c:pt>
                <c:pt idx="26">
                  <c:v>220</c:v>
                </c:pt>
                <c:pt idx="27">
                  <c:v>230</c:v>
                </c:pt>
                <c:pt idx="28">
                  <c:v>230</c:v>
                </c:pt>
                <c:pt idx="29">
                  <c:v>235</c:v>
                </c:pt>
                <c:pt idx="30">
                  <c:v>285</c:v>
                </c:pt>
                <c:pt idx="31">
                  <c:v>290</c:v>
                </c:pt>
                <c:pt idx="32">
                  <c:v>345</c:v>
                </c:pt>
                <c:pt idx="33">
                  <c:v>480</c:v>
                </c:pt>
                <c:pt idx="34">
                  <c:v>540</c:v>
                </c:pt>
              </c:numCache>
            </c:numRef>
          </c:yVal>
        </c:ser>
        <c:axId val="79268480"/>
        <c:axId val="85873408"/>
      </c:scatterChart>
      <c:valAx>
        <c:axId val="79268480"/>
        <c:scaling>
          <c:orientation val="maxMin"/>
          <c:max val="71"/>
          <c:min val="61"/>
        </c:scaling>
        <c:axPos val="t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LONGITUDE (°W)</a:t>
                </a:r>
              </a:p>
            </c:rich>
          </c:tx>
          <c:layout>
            <c:manualLayout>
              <c:xMode val="edge"/>
              <c:yMode val="edge"/>
              <c:x val="0.44793700787401569"/>
              <c:y val="5.1114087370098281E-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5873408"/>
        <c:crosses val="autoZero"/>
        <c:crossBetween val="midCat"/>
        <c:majorUnit val="1"/>
        <c:minorUnit val="0.5"/>
      </c:valAx>
      <c:valAx>
        <c:axId val="85873408"/>
        <c:scaling>
          <c:orientation val="maxMin"/>
          <c:max val="700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FOCUS DEPTH (km)</a:t>
                </a:r>
              </a:p>
            </c:rich>
          </c:tx>
          <c:layout>
            <c:manualLayout>
              <c:xMode val="edge"/>
              <c:yMode val="edge"/>
              <c:x val="1.6124162165679704E-2"/>
              <c:y val="0.31690168815429443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79268480"/>
        <c:crosses val="max"/>
        <c:crossBetween val="midCat"/>
        <c:minorUnit val="50"/>
      </c:valAx>
      <c:spPr>
        <a:noFill/>
        <a:ln w="12700">
          <a:solidFill>
            <a:srgbClr val="00000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TONGA AREA</a:t>
            </a:r>
          </a:p>
        </c:rich>
      </c:tx>
      <c:layout>
        <c:manualLayout>
          <c:xMode val="edge"/>
          <c:yMode val="edge"/>
          <c:x val="1.1661457485498822E-3"/>
          <c:y val="9.7362526364550125E-4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4693892193371522"/>
          <c:y val="0.16511592631858982"/>
          <c:w val="0.80000079719467243"/>
          <c:h val="0.75013981043595002"/>
        </c:manualLayout>
      </c:layout>
      <c:scatterChart>
        <c:scatterStyle val="lineMarker"/>
        <c:ser>
          <c:idx val="0"/>
          <c:order val="0"/>
          <c:tx>
            <c:strRef>
              <c:f>data!$B$1</c:f>
              <c:strCache>
                <c:ptCount val="1"/>
                <c:pt idx="0">
                  <c:v>FOCUS DEPTH (km)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3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trendline>
            <c:spPr>
              <a:ln w="25400"/>
            </c:spPr>
            <c:trendlineType val="linear"/>
          </c:trendline>
          <c:xVal>
            <c:numRef>
              <c:f>data!$A$2:$A$42</c:f>
              <c:numCache>
                <c:formatCode>General</c:formatCode>
                <c:ptCount val="41"/>
                <c:pt idx="0">
                  <c:v>174</c:v>
                </c:pt>
                <c:pt idx="1">
                  <c:v>174</c:v>
                </c:pt>
                <c:pt idx="2">
                  <c:v>174.5</c:v>
                </c:pt>
                <c:pt idx="3">
                  <c:v>175</c:v>
                </c:pt>
                <c:pt idx="4">
                  <c:v>174.5</c:v>
                </c:pt>
                <c:pt idx="5">
                  <c:v>175</c:v>
                </c:pt>
                <c:pt idx="6">
                  <c:v>175</c:v>
                </c:pt>
                <c:pt idx="7">
                  <c:v>174</c:v>
                </c:pt>
                <c:pt idx="8">
                  <c:v>174</c:v>
                </c:pt>
                <c:pt idx="9">
                  <c:v>174</c:v>
                </c:pt>
                <c:pt idx="10">
                  <c:v>175.5</c:v>
                </c:pt>
                <c:pt idx="11">
                  <c:v>175</c:v>
                </c:pt>
                <c:pt idx="12">
                  <c:v>176</c:v>
                </c:pt>
                <c:pt idx="13">
                  <c:v>176</c:v>
                </c:pt>
                <c:pt idx="14">
                  <c:v>175.5</c:v>
                </c:pt>
                <c:pt idx="15">
                  <c:v>176</c:v>
                </c:pt>
                <c:pt idx="16">
                  <c:v>175.5</c:v>
                </c:pt>
                <c:pt idx="17">
                  <c:v>176</c:v>
                </c:pt>
                <c:pt idx="18">
                  <c:v>176</c:v>
                </c:pt>
                <c:pt idx="19">
                  <c:v>177</c:v>
                </c:pt>
                <c:pt idx="20">
                  <c:v>177</c:v>
                </c:pt>
                <c:pt idx="21">
                  <c:v>177</c:v>
                </c:pt>
                <c:pt idx="22">
                  <c:v>177.5</c:v>
                </c:pt>
                <c:pt idx="23">
                  <c:v>178</c:v>
                </c:pt>
                <c:pt idx="24">
                  <c:v>177.5</c:v>
                </c:pt>
                <c:pt idx="25">
                  <c:v>178.5</c:v>
                </c:pt>
                <c:pt idx="26">
                  <c:v>178</c:v>
                </c:pt>
                <c:pt idx="27">
                  <c:v>178</c:v>
                </c:pt>
                <c:pt idx="28">
                  <c:v>178.5</c:v>
                </c:pt>
                <c:pt idx="29">
                  <c:v>178</c:v>
                </c:pt>
                <c:pt idx="30">
                  <c:v>178</c:v>
                </c:pt>
                <c:pt idx="31">
                  <c:v>178</c:v>
                </c:pt>
                <c:pt idx="32">
                  <c:v>178</c:v>
                </c:pt>
                <c:pt idx="33">
                  <c:v>179</c:v>
                </c:pt>
                <c:pt idx="34">
                  <c:v>179</c:v>
                </c:pt>
                <c:pt idx="35">
                  <c:v>178</c:v>
                </c:pt>
                <c:pt idx="36">
                  <c:v>178.5</c:v>
                </c:pt>
                <c:pt idx="37">
                  <c:v>178.5</c:v>
                </c:pt>
                <c:pt idx="38">
                  <c:v>179</c:v>
                </c:pt>
                <c:pt idx="39">
                  <c:v>179</c:v>
                </c:pt>
                <c:pt idx="40">
                  <c:v>179</c:v>
                </c:pt>
              </c:numCache>
            </c:numRef>
          </c:xVal>
          <c:yVal>
            <c:numRef>
              <c:f>data!$B$2:$B$42</c:f>
              <c:numCache>
                <c:formatCode>General</c:formatCode>
                <c:ptCount val="41"/>
                <c:pt idx="0">
                  <c:v>30</c:v>
                </c:pt>
                <c:pt idx="1">
                  <c:v>35</c:v>
                </c:pt>
                <c:pt idx="2">
                  <c:v>35</c:v>
                </c:pt>
                <c:pt idx="3">
                  <c:v>35</c:v>
                </c:pt>
                <c:pt idx="4">
                  <c:v>40</c:v>
                </c:pt>
                <c:pt idx="5">
                  <c:v>40</c:v>
                </c:pt>
                <c:pt idx="6">
                  <c:v>50</c:v>
                </c:pt>
                <c:pt idx="7">
                  <c:v>50</c:v>
                </c:pt>
                <c:pt idx="8">
                  <c:v>60</c:v>
                </c:pt>
                <c:pt idx="9">
                  <c:v>60</c:v>
                </c:pt>
                <c:pt idx="10">
                  <c:v>115</c:v>
                </c:pt>
                <c:pt idx="11">
                  <c:v>140</c:v>
                </c:pt>
                <c:pt idx="12">
                  <c:v>160</c:v>
                </c:pt>
                <c:pt idx="13">
                  <c:v>190</c:v>
                </c:pt>
                <c:pt idx="14">
                  <c:v>205</c:v>
                </c:pt>
                <c:pt idx="15">
                  <c:v>220</c:v>
                </c:pt>
                <c:pt idx="16">
                  <c:v>250</c:v>
                </c:pt>
                <c:pt idx="17">
                  <c:v>260</c:v>
                </c:pt>
                <c:pt idx="18">
                  <c:v>270</c:v>
                </c:pt>
                <c:pt idx="19">
                  <c:v>340</c:v>
                </c:pt>
                <c:pt idx="20">
                  <c:v>350</c:v>
                </c:pt>
                <c:pt idx="21">
                  <c:v>380</c:v>
                </c:pt>
                <c:pt idx="22">
                  <c:v>420</c:v>
                </c:pt>
                <c:pt idx="23">
                  <c:v>460</c:v>
                </c:pt>
                <c:pt idx="24">
                  <c:v>465</c:v>
                </c:pt>
                <c:pt idx="25">
                  <c:v>505</c:v>
                </c:pt>
                <c:pt idx="26">
                  <c:v>510</c:v>
                </c:pt>
                <c:pt idx="27">
                  <c:v>520</c:v>
                </c:pt>
                <c:pt idx="28">
                  <c:v>540</c:v>
                </c:pt>
                <c:pt idx="29">
                  <c:v>550</c:v>
                </c:pt>
                <c:pt idx="30">
                  <c:v>560</c:v>
                </c:pt>
                <c:pt idx="31">
                  <c:v>565</c:v>
                </c:pt>
                <c:pt idx="32">
                  <c:v>580</c:v>
                </c:pt>
                <c:pt idx="33">
                  <c:v>580</c:v>
                </c:pt>
                <c:pt idx="34">
                  <c:v>590</c:v>
                </c:pt>
                <c:pt idx="35">
                  <c:v>595</c:v>
                </c:pt>
                <c:pt idx="36">
                  <c:v>600</c:v>
                </c:pt>
                <c:pt idx="37">
                  <c:v>615</c:v>
                </c:pt>
                <c:pt idx="38">
                  <c:v>650</c:v>
                </c:pt>
                <c:pt idx="39">
                  <c:v>670</c:v>
                </c:pt>
                <c:pt idx="40">
                  <c:v>675</c:v>
                </c:pt>
              </c:numCache>
            </c:numRef>
          </c:yVal>
        </c:ser>
        <c:axId val="88372736"/>
        <c:axId val="88968576"/>
      </c:scatterChart>
      <c:valAx>
        <c:axId val="88372736"/>
        <c:scaling>
          <c:orientation val="maxMin"/>
          <c:min val="170"/>
        </c:scaling>
        <c:axPos val="t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LONGITUDE (°W)</a:t>
                </a:r>
              </a:p>
            </c:rich>
          </c:tx>
          <c:layout>
            <c:manualLayout>
              <c:xMode val="edge"/>
              <c:yMode val="edge"/>
              <c:x val="0.43542940224549043"/>
              <c:y val="1.6345037924562624E-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8968576"/>
        <c:crosses val="autoZero"/>
        <c:crossBetween val="midCat"/>
        <c:majorUnit val="1"/>
        <c:minorUnit val="0.5"/>
      </c:valAx>
      <c:valAx>
        <c:axId val="88968576"/>
        <c:scaling>
          <c:orientation val="maxMin"/>
          <c:max val="700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FOCUS DEPTH (km)</a:t>
                </a:r>
              </a:p>
            </c:rich>
          </c:tx>
          <c:layout>
            <c:manualLayout>
              <c:xMode val="edge"/>
              <c:yMode val="edge"/>
              <c:x val="1.2932675398698398E-2"/>
              <c:y val="0.32156619275707155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8372736"/>
        <c:crosses val="max"/>
        <c:crossBetween val="midCat"/>
        <c:minorUnit val="50"/>
      </c:valAx>
      <c:spPr>
        <a:noFill/>
        <a:ln w="12700">
          <a:solidFill>
            <a:srgbClr val="00000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2017-10-20T14:02:00Z</dcterms:created>
  <dcterms:modified xsi:type="dcterms:W3CDTF">2017-10-20T14:12:00Z</dcterms:modified>
</cp:coreProperties>
</file>